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F6C2" w14:textId="237D708F" w:rsidR="004B5386" w:rsidRDefault="004B5386" w:rsidP="004B5386">
      <w:pPr>
        <w:spacing w:line="360" w:lineRule="exact"/>
        <w:ind w:right="960"/>
        <w:rPr>
          <w:rFonts w:ascii="メイリオ" w:eastAsia="メイリオ" w:hAnsi="メイリオ"/>
          <w:b/>
          <w:sz w:val="24"/>
        </w:rPr>
      </w:pPr>
      <w:r>
        <w:rPr>
          <w:rFonts w:ascii="メイリオ" w:eastAsia="メイリオ" w:hAnsi="メイリオ" w:hint="eastAsia"/>
          <w:b/>
          <w:sz w:val="24"/>
        </w:rPr>
        <w:t xml:space="preserve">　　　　　　　　　　　　　　　　　　　　　　　　　　　　　　　　　　　　　　　　　　　　　　　　</w:t>
      </w:r>
      <w:r w:rsidRPr="004B5386">
        <w:rPr>
          <w:rFonts w:ascii="メイリオ" w:eastAsia="メイリオ" w:hAnsi="メイリオ" w:hint="eastAsia"/>
          <w:bCs/>
          <w:sz w:val="24"/>
        </w:rPr>
        <w:t>令和５年３月１２日</w:t>
      </w:r>
    </w:p>
    <w:p w14:paraId="62B2C2CF" w14:textId="6E2A78D6" w:rsidR="00FF35B1" w:rsidRPr="00FF35B1" w:rsidRDefault="00185948" w:rsidP="004B5386">
      <w:pPr>
        <w:spacing w:line="360" w:lineRule="exact"/>
        <w:jc w:val="center"/>
        <w:rPr>
          <w:rFonts w:ascii="メイリオ" w:eastAsia="メイリオ" w:hAnsi="メイリオ"/>
          <w:b/>
          <w:sz w:val="24"/>
        </w:rPr>
      </w:pPr>
      <w:r w:rsidRPr="004B5386">
        <w:rPr>
          <w:rFonts w:ascii="メイリオ" w:eastAsia="メイリオ" w:hAnsi="メイリオ" w:hint="eastAsia"/>
          <w:b/>
          <w:spacing w:val="19"/>
          <w:kern w:val="0"/>
          <w:sz w:val="24"/>
          <w:fitText w:val="9120" w:id="1971508737"/>
        </w:rPr>
        <w:t>スポーツ団体</w:t>
      </w:r>
      <w:r w:rsidR="0090616D" w:rsidRPr="004B5386">
        <w:rPr>
          <w:rFonts w:ascii="メイリオ" w:eastAsia="メイリオ" w:hAnsi="メイリオ" w:hint="eastAsia"/>
          <w:b/>
          <w:spacing w:val="19"/>
          <w:kern w:val="0"/>
          <w:sz w:val="24"/>
          <w:fitText w:val="9120" w:id="1971508737"/>
        </w:rPr>
        <w:t>ガバナンスコード</w:t>
      </w:r>
      <w:r w:rsidR="004B5386" w:rsidRPr="004B5386">
        <w:rPr>
          <w:rFonts w:ascii="メイリオ" w:eastAsia="メイリオ" w:hAnsi="メイリオ" w:hint="eastAsia"/>
          <w:b/>
          <w:spacing w:val="19"/>
          <w:kern w:val="0"/>
          <w:sz w:val="24"/>
          <w:fitText w:val="9120" w:id="1971508737"/>
        </w:rPr>
        <w:t>の遵守状況について（</w:t>
      </w:r>
      <w:r w:rsidRPr="004B5386">
        <w:rPr>
          <w:rFonts w:ascii="メイリオ" w:eastAsia="メイリオ" w:hAnsi="メイリオ"/>
          <w:b/>
          <w:spacing w:val="19"/>
          <w:kern w:val="0"/>
          <w:sz w:val="24"/>
          <w:fitText w:val="9120" w:id="1971508737"/>
        </w:rPr>
        <w:t>一般スポーツ団体</w:t>
      </w:r>
      <w:r w:rsidR="004B5386" w:rsidRPr="004B5386">
        <w:rPr>
          <w:rFonts w:ascii="メイリオ" w:eastAsia="メイリオ" w:hAnsi="メイリオ" w:hint="eastAsia"/>
          <w:b/>
          <w:spacing w:val="-7"/>
          <w:kern w:val="0"/>
          <w:sz w:val="24"/>
          <w:fitText w:val="9120" w:id="1971508737"/>
        </w:rPr>
        <w:t>）</w:t>
      </w:r>
    </w:p>
    <w:p w14:paraId="45E0B8AE" w14:textId="0E98A7A0"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4B5386">
        <w:rPr>
          <w:rFonts w:ascii="メイリオ" w:eastAsia="メイリオ" w:hAnsi="メイリオ" w:hint="eastAsia"/>
          <w:b/>
          <w:sz w:val="24"/>
        </w:rPr>
        <w:t>滋賀県柔道連盟</w:t>
      </w:r>
      <w:r>
        <w:rPr>
          <w:rFonts w:ascii="メイリオ" w:eastAsia="メイリオ" w:hAnsi="メイリオ" w:hint="eastAsia"/>
          <w:b/>
          <w:sz w:val="24"/>
        </w:rPr>
        <w:t>]</w:t>
      </w:r>
    </w:p>
    <w:tbl>
      <w:tblPr>
        <w:tblStyle w:val="3"/>
        <w:tblW w:w="15168" w:type="dxa"/>
        <w:tblInd w:w="-289" w:type="dxa"/>
        <w:tblLook w:val="04A0" w:firstRow="1" w:lastRow="0" w:firstColumn="1" w:lastColumn="0" w:noHBand="0" w:noVBand="1"/>
      </w:tblPr>
      <w:tblGrid>
        <w:gridCol w:w="559"/>
        <w:gridCol w:w="3432"/>
        <w:gridCol w:w="5447"/>
        <w:gridCol w:w="5730"/>
      </w:tblGrid>
      <w:tr w:rsidR="00726869" w:rsidRPr="00FF35B1" w14:paraId="43FB1EC9" w14:textId="20915333" w:rsidTr="00481CCB">
        <w:tc>
          <w:tcPr>
            <w:tcW w:w="559" w:type="dxa"/>
          </w:tcPr>
          <w:p w14:paraId="7EE8585C" w14:textId="438968E5" w:rsidR="00931ECB" w:rsidRPr="00FF35B1" w:rsidRDefault="00931ECB" w:rsidP="004B5386">
            <w:pPr>
              <w:spacing w:line="360" w:lineRule="exact"/>
              <w:jc w:val="center"/>
              <w:rPr>
                <w:rFonts w:ascii="メイリオ" w:eastAsia="メイリオ" w:hAnsi="メイリオ"/>
                <w:sz w:val="24"/>
              </w:rPr>
            </w:pPr>
          </w:p>
        </w:tc>
        <w:tc>
          <w:tcPr>
            <w:tcW w:w="3432" w:type="dxa"/>
          </w:tcPr>
          <w:p w14:paraId="3E224ECD" w14:textId="07A486F3" w:rsidR="00931ECB" w:rsidRPr="00FF35B1" w:rsidRDefault="00931ECB" w:rsidP="006E1308">
            <w:pPr>
              <w:spacing w:line="360" w:lineRule="exact"/>
              <w:jc w:val="center"/>
              <w:rPr>
                <w:rFonts w:ascii="メイリオ" w:eastAsia="メイリオ" w:hAnsi="メイリオ"/>
                <w:sz w:val="24"/>
              </w:rPr>
            </w:pPr>
            <w:r>
              <w:rPr>
                <w:rFonts w:ascii="メイリオ" w:eastAsia="メイリオ" w:hAnsi="メイリオ" w:hint="eastAsia"/>
                <w:sz w:val="24"/>
              </w:rPr>
              <w:t>原則</w:t>
            </w:r>
          </w:p>
        </w:tc>
        <w:tc>
          <w:tcPr>
            <w:tcW w:w="5447" w:type="dxa"/>
          </w:tcPr>
          <w:p w14:paraId="3292C778" w14:textId="32BE0067" w:rsidR="00931ECB" w:rsidRPr="00FF35B1" w:rsidRDefault="00931ECB" w:rsidP="006E1308">
            <w:pPr>
              <w:spacing w:line="360" w:lineRule="exact"/>
              <w:jc w:val="center"/>
              <w:rPr>
                <w:rFonts w:ascii="メイリオ" w:eastAsia="メイリオ" w:hAnsi="メイリオ"/>
                <w:sz w:val="24"/>
              </w:rPr>
            </w:pPr>
            <w:r>
              <w:rPr>
                <w:rFonts w:ascii="メイリオ" w:eastAsia="メイリオ" w:hAnsi="メイリオ" w:hint="eastAsia"/>
                <w:sz w:val="24"/>
              </w:rPr>
              <w:t>自己説明項目</w:t>
            </w:r>
          </w:p>
        </w:tc>
        <w:tc>
          <w:tcPr>
            <w:tcW w:w="5730" w:type="dxa"/>
          </w:tcPr>
          <w:p w14:paraId="02318BE5" w14:textId="7AA6BCA3" w:rsidR="00931ECB" w:rsidRPr="00FF35B1" w:rsidRDefault="00931ECB" w:rsidP="006E1308">
            <w:pPr>
              <w:spacing w:line="360" w:lineRule="exact"/>
              <w:jc w:val="center"/>
              <w:rPr>
                <w:rFonts w:ascii="メイリオ" w:eastAsia="メイリオ" w:hAnsi="メイリオ"/>
                <w:sz w:val="24"/>
              </w:rPr>
            </w:pPr>
            <w:r>
              <w:rPr>
                <w:rFonts w:ascii="メイリオ" w:eastAsia="メイリオ" w:hAnsi="メイリオ" w:hint="eastAsia"/>
                <w:sz w:val="24"/>
              </w:rPr>
              <w:t>自己説明</w:t>
            </w:r>
          </w:p>
        </w:tc>
      </w:tr>
      <w:tr w:rsidR="00726869" w:rsidRPr="004B5386" w14:paraId="00B6DD70" w14:textId="354A1538" w:rsidTr="00481CCB">
        <w:tc>
          <w:tcPr>
            <w:tcW w:w="559" w:type="dxa"/>
          </w:tcPr>
          <w:p w14:paraId="13D8D6D8" w14:textId="72932F7C" w:rsidR="00931ECB" w:rsidRPr="00681F36" w:rsidRDefault="00681F36" w:rsidP="00681F36">
            <w:pPr>
              <w:widowControl/>
              <w:spacing w:line="360" w:lineRule="exact"/>
              <w:ind w:firstLineChars="50" w:firstLine="105"/>
              <w:rPr>
                <w:rFonts w:ascii="メイリオ" w:eastAsia="メイリオ" w:hAnsi="メイリオ"/>
                <w:bCs/>
                <w:szCs w:val="21"/>
              </w:rPr>
            </w:pPr>
            <w:r w:rsidRPr="00681F36">
              <w:rPr>
                <w:rFonts w:ascii="メイリオ" w:eastAsia="メイリオ" w:hAnsi="メイリオ" w:hint="eastAsia"/>
                <w:bCs/>
                <w:szCs w:val="21"/>
              </w:rPr>
              <w:t>1</w:t>
            </w:r>
          </w:p>
        </w:tc>
        <w:tc>
          <w:tcPr>
            <w:tcW w:w="3432" w:type="dxa"/>
          </w:tcPr>
          <w:p w14:paraId="6647974E" w14:textId="7582BFF6" w:rsidR="00931ECB" w:rsidRPr="00931ECB" w:rsidRDefault="00931ECB" w:rsidP="00931ECB">
            <w:pPr>
              <w:widowControl/>
              <w:spacing w:line="360" w:lineRule="exact"/>
              <w:jc w:val="left"/>
              <w:rPr>
                <w:rFonts w:ascii="メイリオ" w:eastAsia="メイリオ" w:hAnsi="メイリオ"/>
                <w:bCs/>
                <w:szCs w:val="21"/>
              </w:rPr>
            </w:pPr>
            <w:r>
              <w:rPr>
                <w:rFonts w:ascii="メイリオ" w:eastAsia="メイリオ" w:hAnsi="メイリオ" w:hint="eastAsia"/>
                <w:bCs/>
                <w:szCs w:val="21"/>
              </w:rPr>
              <w:t>組織運営に関する基本計画を公表すべきである</w:t>
            </w:r>
            <w:r w:rsidRPr="00931ECB">
              <w:rPr>
                <w:rFonts w:ascii="メイリオ" w:eastAsia="メイリオ" w:hAnsi="メイリオ" w:hint="eastAsia"/>
                <w:bCs/>
                <w:szCs w:val="21"/>
              </w:rPr>
              <w:t>。</w:t>
            </w:r>
          </w:p>
        </w:tc>
        <w:tc>
          <w:tcPr>
            <w:tcW w:w="5447" w:type="dxa"/>
          </w:tcPr>
          <w:p w14:paraId="6D0100ED" w14:textId="7B334A75" w:rsidR="00931ECB" w:rsidRPr="00931ECB" w:rsidRDefault="00931ECB" w:rsidP="00931ECB">
            <w:pPr>
              <w:widowControl/>
              <w:spacing w:line="360" w:lineRule="exact"/>
              <w:jc w:val="left"/>
              <w:rPr>
                <w:rFonts w:ascii="メイリオ" w:eastAsia="メイリオ" w:hAnsi="メイリオ"/>
                <w:bCs/>
                <w:szCs w:val="21"/>
              </w:rPr>
            </w:pPr>
            <w:r w:rsidRPr="00931ECB">
              <w:rPr>
                <w:rFonts w:ascii="メイリオ" w:eastAsia="メイリオ" w:hAnsi="メイリオ" w:hint="eastAsia"/>
                <w:bCs/>
                <w:szCs w:val="21"/>
              </w:rPr>
              <w:t>組織運営に関する</w:t>
            </w:r>
            <w:r>
              <w:rPr>
                <w:rFonts w:ascii="メイリオ" w:eastAsia="メイリオ" w:hAnsi="メイリオ" w:hint="eastAsia"/>
                <w:bCs/>
                <w:szCs w:val="21"/>
              </w:rPr>
              <w:t>中長期基本計画を策定し公表すること</w:t>
            </w:r>
          </w:p>
        </w:tc>
        <w:tc>
          <w:tcPr>
            <w:tcW w:w="5730" w:type="dxa"/>
          </w:tcPr>
          <w:p w14:paraId="761CD1EB" w14:textId="2A825744" w:rsidR="00666E4B" w:rsidRPr="00666E4B" w:rsidRDefault="00666E4B" w:rsidP="006D5859">
            <w:pPr>
              <w:widowControl/>
              <w:spacing w:line="360" w:lineRule="exact"/>
              <w:jc w:val="left"/>
              <w:rPr>
                <w:rFonts w:ascii="メイリオ" w:eastAsia="メイリオ" w:hAnsi="メイリオ"/>
                <w:bCs/>
                <w:szCs w:val="21"/>
              </w:rPr>
            </w:pPr>
            <w:r w:rsidRPr="00666E4B">
              <w:rPr>
                <w:rFonts w:ascii="メイリオ" w:eastAsia="メイリオ" w:hAnsi="メイリオ" w:hint="eastAsia"/>
                <w:bCs/>
                <w:szCs w:val="21"/>
              </w:rPr>
              <w:t>各専門委員会</w:t>
            </w:r>
            <w:r w:rsidR="00243AE7">
              <w:rPr>
                <w:rFonts w:ascii="メイリオ" w:eastAsia="メイリオ" w:hAnsi="メイリオ" w:hint="eastAsia"/>
                <w:bCs/>
                <w:szCs w:val="21"/>
              </w:rPr>
              <w:t>等</w:t>
            </w:r>
            <w:r w:rsidRPr="00666E4B">
              <w:rPr>
                <w:rFonts w:ascii="メイリオ" w:eastAsia="メイリオ" w:hAnsi="メイリオ" w:hint="eastAsia"/>
                <w:bCs/>
                <w:szCs w:val="21"/>
              </w:rPr>
              <w:t>で基本計画を</w:t>
            </w:r>
            <w:r>
              <w:rPr>
                <w:rFonts w:ascii="メイリオ" w:eastAsia="メイリオ" w:hAnsi="メイリオ" w:hint="eastAsia"/>
                <w:bCs/>
                <w:szCs w:val="21"/>
              </w:rPr>
              <w:t>確認し、</w:t>
            </w:r>
            <w:r w:rsidR="006D5859">
              <w:rPr>
                <w:rFonts w:ascii="メイリオ" w:eastAsia="メイリオ" w:hAnsi="メイリオ" w:hint="eastAsia"/>
                <w:bCs/>
                <w:szCs w:val="21"/>
              </w:rPr>
              <w:t>年度</w:t>
            </w:r>
            <w:r>
              <w:rPr>
                <w:rFonts w:ascii="メイリオ" w:eastAsia="メイリオ" w:hAnsi="メイリオ" w:hint="eastAsia"/>
                <w:bCs/>
                <w:szCs w:val="21"/>
              </w:rPr>
              <w:t>毎</w:t>
            </w:r>
            <w:r w:rsidR="006D5859">
              <w:rPr>
                <w:rFonts w:ascii="メイリオ" w:eastAsia="メイリオ" w:hAnsi="メイリオ" w:hint="eastAsia"/>
                <w:bCs/>
                <w:szCs w:val="21"/>
              </w:rPr>
              <w:t>ではあるが</w:t>
            </w:r>
            <w:r>
              <w:rPr>
                <w:rFonts w:ascii="メイリオ" w:eastAsia="メイリオ" w:hAnsi="メイリオ" w:hint="eastAsia"/>
                <w:bCs/>
                <w:szCs w:val="21"/>
              </w:rPr>
              <w:t>、</w:t>
            </w:r>
            <w:r w:rsidR="00740D6D">
              <w:rPr>
                <w:rFonts w:ascii="メイリオ" w:eastAsia="メイリオ" w:hAnsi="メイリオ" w:hint="eastAsia"/>
                <w:bCs/>
                <w:szCs w:val="21"/>
              </w:rPr>
              <w:t>一部を</w:t>
            </w:r>
            <w:r>
              <w:rPr>
                <w:rFonts w:ascii="メイリオ" w:eastAsia="メイリオ" w:hAnsi="メイリオ" w:hint="eastAsia"/>
                <w:bCs/>
                <w:szCs w:val="21"/>
              </w:rPr>
              <w:t>要覧にて公表している。</w:t>
            </w:r>
          </w:p>
        </w:tc>
      </w:tr>
      <w:tr w:rsidR="00726869" w:rsidRPr="004B5386" w14:paraId="3A52CB53" w14:textId="7F872547" w:rsidTr="00481CCB">
        <w:tc>
          <w:tcPr>
            <w:tcW w:w="559" w:type="dxa"/>
          </w:tcPr>
          <w:p w14:paraId="3C37EB08" w14:textId="597F17F0" w:rsidR="00726869" w:rsidRDefault="00726869" w:rsidP="006E1308">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2</w:t>
            </w:r>
          </w:p>
          <w:p w14:paraId="0259B150" w14:textId="1596BE37" w:rsidR="00726869" w:rsidRPr="004B5386" w:rsidRDefault="00726869" w:rsidP="004B5386">
            <w:pPr>
              <w:spacing w:line="360" w:lineRule="exact"/>
              <w:rPr>
                <w:rFonts w:ascii="メイリオ" w:eastAsia="メイリオ" w:hAnsi="メイリオ"/>
                <w:szCs w:val="21"/>
              </w:rPr>
            </w:pPr>
          </w:p>
        </w:tc>
        <w:tc>
          <w:tcPr>
            <w:tcW w:w="3432" w:type="dxa"/>
            <w:vMerge w:val="restart"/>
          </w:tcPr>
          <w:p w14:paraId="60023FF8" w14:textId="77777777" w:rsidR="003B0267" w:rsidRDefault="003B0267" w:rsidP="00681F36">
            <w:pPr>
              <w:spacing w:line="360" w:lineRule="exact"/>
              <w:rPr>
                <w:rFonts w:ascii="メイリオ" w:eastAsia="メイリオ" w:hAnsi="メイリオ"/>
                <w:bCs/>
                <w:szCs w:val="21"/>
              </w:rPr>
            </w:pPr>
          </w:p>
          <w:p w14:paraId="78EDF8A0" w14:textId="77777777" w:rsidR="003B0267" w:rsidRDefault="003B0267" w:rsidP="00681F36">
            <w:pPr>
              <w:spacing w:line="360" w:lineRule="exact"/>
              <w:rPr>
                <w:rFonts w:ascii="メイリオ" w:eastAsia="メイリオ" w:hAnsi="メイリオ"/>
                <w:bCs/>
                <w:szCs w:val="21"/>
              </w:rPr>
            </w:pPr>
          </w:p>
          <w:p w14:paraId="1D2CCDF1" w14:textId="77777777" w:rsidR="003B0267" w:rsidRDefault="003B0267" w:rsidP="00681F36">
            <w:pPr>
              <w:spacing w:line="360" w:lineRule="exact"/>
              <w:rPr>
                <w:rFonts w:ascii="メイリオ" w:eastAsia="メイリオ" w:hAnsi="メイリオ"/>
                <w:bCs/>
                <w:szCs w:val="21"/>
              </w:rPr>
            </w:pPr>
          </w:p>
          <w:p w14:paraId="66B73599" w14:textId="5C68024B" w:rsidR="00726869" w:rsidRPr="004B5386" w:rsidRDefault="00726869" w:rsidP="00681F36">
            <w:pPr>
              <w:spacing w:line="360" w:lineRule="exact"/>
              <w:rPr>
                <w:rFonts w:ascii="メイリオ" w:eastAsia="メイリオ" w:hAnsi="メイリオ"/>
                <w:szCs w:val="21"/>
              </w:rPr>
            </w:pPr>
            <w:r>
              <w:rPr>
                <w:rFonts w:ascii="メイリオ" w:eastAsia="メイリオ" w:hAnsi="メイリオ" w:hint="eastAsia"/>
                <w:bCs/>
                <w:szCs w:val="21"/>
              </w:rPr>
              <w:t>組織運営等に必要な規程を整備すべきである。</w:t>
            </w:r>
          </w:p>
        </w:tc>
        <w:tc>
          <w:tcPr>
            <w:tcW w:w="5447" w:type="dxa"/>
          </w:tcPr>
          <w:p w14:paraId="45F3F034" w14:textId="32A57C2F" w:rsidR="00726869" w:rsidRPr="004B5386" w:rsidRDefault="00726869" w:rsidP="00681F36">
            <w:pPr>
              <w:spacing w:line="360" w:lineRule="exact"/>
              <w:rPr>
                <w:rFonts w:ascii="メイリオ" w:eastAsia="メイリオ" w:hAnsi="メイリオ"/>
                <w:szCs w:val="21"/>
              </w:rPr>
            </w:pPr>
            <w:r>
              <w:rPr>
                <w:rFonts w:ascii="メイリオ" w:eastAsia="メイリオ" w:hAnsi="メイリオ" w:hint="eastAsia"/>
                <w:szCs w:val="21"/>
              </w:rPr>
              <w:t>団体及びその役職員その他構成員が適用対象となる</w:t>
            </w:r>
            <w:r w:rsidRPr="004B5386">
              <w:rPr>
                <w:rFonts w:ascii="メイリオ" w:eastAsia="メイリオ" w:hAnsi="メイリオ" w:hint="eastAsia"/>
                <w:szCs w:val="21"/>
              </w:rPr>
              <w:t>法令を遵守</w:t>
            </w:r>
            <w:r>
              <w:rPr>
                <w:rFonts w:ascii="メイリオ" w:eastAsia="メイリオ" w:hAnsi="メイリオ" w:hint="eastAsia"/>
                <w:szCs w:val="21"/>
              </w:rPr>
              <w:t>するために必要な規程を整備すること</w:t>
            </w:r>
          </w:p>
        </w:tc>
        <w:tc>
          <w:tcPr>
            <w:tcW w:w="5730" w:type="dxa"/>
          </w:tcPr>
          <w:p w14:paraId="682FB680" w14:textId="2C929727" w:rsidR="00726869" w:rsidRDefault="00726869" w:rsidP="006E1308">
            <w:pPr>
              <w:spacing w:line="360" w:lineRule="exact"/>
              <w:rPr>
                <w:rFonts w:ascii="メイリオ" w:eastAsia="メイリオ" w:hAnsi="メイリオ"/>
                <w:szCs w:val="21"/>
              </w:rPr>
            </w:pPr>
            <w:r>
              <w:rPr>
                <w:rFonts w:ascii="メイリオ" w:eastAsia="メイリオ" w:hAnsi="メイリオ" w:hint="eastAsia"/>
                <w:szCs w:val="21"/>
              </w:rPr>
              <w:t>上部団体に準じた「倫理・懲戒規程」を整備している。</w:t>
            </w:r>
          </w:p>
          <w:p w14:paraId="7EADFFDD" w14:textId="4E61BA4D" w:rsidR="00726869" w:rsidRPr="00294238" w:rsidRDefault="00726869" w:rsidP="006E1308">
            <w:pPr>
              <w:spacing w:line="360" w:lineRule="exact"/>
              <w:rPr>
                <w:rFonts w:ascii="メイリオ" w:eastAsia="メイリオ" w:hAnsi="メイリオ"/>
                <w:szCs w:val="21"/>
              </w:rPr>
            </w:pPr>
            <w:r>
              <w:rPr>
                <w:rFonts w:ascii="メイリオ" w:eastAsia="メイリオ" w:hAnsi="メイリオ" w:hint="eastAsia"/>
                <w:szCs w:val="21"/>
              </w:rPr>
              <w:t>各道場ごとに、不祥事防止策を提出してもらっている。</w:t>
            </w:r>
          </w:p>
        </w:tc>
      </w:tr>
      <w:tr w:rsidR="00726869" w:rsidRPr="004B5386" w14:paraId="64E76251" w14:textId="37D366CC" w:rsidTr="00481CCB">
        <w:trPr>
          <w:trHeight w:val="910"/>
        </w:trPr>
        <w:tc>
          <w:tcPr>
            <w:tcW w:w="559" w:type="dxa"/>
          </w:tcPr>
          <w:p w14:paraId="0E5EF1D1" w14:textId="77777777" w:rsidR="00481CCB" w:rsidRDefault="00726869" w:rsidP="00CA71D1">
            <w:pPr>
              <w:spacing w:line="360" w:lineRule="exact"/>
              <w:rPr>
                <w:rFonts w:ascii="メイリオ" w:eastAsia="メイリオ" w:hAnsi="メイリオ"/>
                <w:szCs w:val="21"/>
              </w:rPr>
            </w:pPr>
            <w:r>
              <w:rPr>
                <w:rFonts w:ascii="メイリオ" w:eastAsia="メイリオ" w:hAnsi="メイリオ" w:hint="eastAsia"/>
                <w:szCs w:val="21"/>
              </w:rPr>
              <w:t xml:space="preserve"> </w:t>
            </w:r>
          </w:p>
          <w:p w14:paraId="772F9CBA" w14:textId="1879A941" w:rsidR="00726869" w:rsidRDefault="00726869" w:rsidP="00481CCB">
            <w:pPr>
              <w:spacing w:line="360" w:lineRule="exact"/>
              <w:ind w:firstLineChars="50" w:firstLine="105"/>
              <w:rPr>
                <w:rFonts w:ascii="メイリオ" w:eastAsia="メイリオ" w:hAnsi="メイリオ"/>
                <w:szCs w:val="21"/>
              </w:rPr>
            </w:pPr>
            <w:r>
              <w:rPr>
                <w:rFonts w:ascii="メイリオ" w:eastAsia="メイリオ" w:hAnsi="メイリオ"/>
                <w:szCs w:val="21"/>
              </w:rPr>
              <w:t>3</w:t>
            </w:r>
          </w:p>
          <w:p w14:paraId="137AB110" w14:textId="495585C3" w:rsidR="00726869" w:rsidRPr="004B5386" w:rsidRDefault="00726869" w:rsidP="00CA71D1">
            <w:pPr>
              <w:spacing w:line="360" w:lineRule="exact"/>
              <w:rPr>
                <w:rFonts w:ascii="メイリオ" w:eastAsia="メイリオ" w:hAnsi="メイリオ"/>
                <w:szCs w:val="21"/>
                <w:shd w:val="pct15" w:color="auto" w:fill="FFFFFF"/>
              </w:rPr>
            </w:pPr>
          </w:p>
        </w:tc>
        <w:tc>
          <w:tcPr>
            <w:tcW w:w="3432" w:type="dxa"/>
            <w:vMerge/>
          </w:tcPr>
          <w:p w14:paraId="26C67419" w14:textId="77777777" w:rsidR="00726869" w:rsidRPr="004B5386" w:rsidRDefault="00726869" w:rsidP="00CA71D1">
            <w:pPr>
              <w:spacing w:line="360" w:lineRule="exact"/>
              <w:rPr>
                <w:rFonts w:ascii="メイリオ" w:eastAsia="メイリオ" w:hAnsi="メイリオ"/>
                <w:szCs w:val="21"/>
                <w:shd w:val="pct15" w:color="auto" w:fill="FFFFFF"/>
              </w:rPr>
            </w:pPr>
          </w:p>
        </w:tc>
        <w:tc>
          <w:tcPr>
            <w:tcW w:w="5447" w:type="dxa"/>
          </w:tcPr>
          <w:p w14:paraId="0020AE6D" w14:textId="33E0AF80" w:rsidR="00726869" w:rsidRDefault="00726869" w:rsidP="00CA71D1">
            <w:pPr>
              <w:spacing w:line="360" w:lineRule="exact"/>
              <w:rPr>
                <w:rFonts w:ascii="メイリオ" w:eastAsia="メイリオ" w:hAnsi="メイリオ"/>
                <w:szCs w:val="21"/>
              </w:rPr>
            </w:pPr>
            <w:r>
              <w:rPr>
                <w:rFonts w:ascii="メイリオ" w:eastAsia="メイリオ" w:hAnsi="メイリオ" w:hint="eastAsia"/>
                <w:szCs w:val="21"/>
              </w:rPr>
              <w:t>その</w:t>
            </w:r>
            <w:r w:rsidR="00740D6D">
              <w:rPr>
                <w:rFonts w:ascii="メイリオ" w:eastAsia="メイリオ" w:hAnsi="メイリオ" w:hint="eastAsia"/>
                <w:szCs w:val="21"/>
              </w:rPr>
              <w:t>他</w:t>
            </w:r>
            <w:r>
              <w:rPr>
                <w:rFonts w:ascii="メイリオ" w:eastAsia="メイリオ" w:hAnsi="メイリオ" w:hint="eastAsia"/>
                <w:szCs w:val="21"/>
              </w:rPr>
              <w:t>組織運営に必要な規程を整備すること</w:t>
            </w:r>
          </w:p>
          <w:p w14:paraId="4596D3E3" w14:textId="780D29D3" w:rsidR="00726869" w:rsidRPr="00C8171B" w:rsidRDefault="00726869">
            <w:pPr>
              <w:pStyle w:val="af"/>
              <w:numPr>
                <w:ilvl w:val="0"/>
                <w:numId w:val="1"/>
              </w:numPr>
              <w:spacing w:line="360" w:lineRule="exact"/>
              <w:rPr>
                <w:rFonts w:ascii="メイリオ" w:eastAsia="メイリオ" w:hAnsi="メイリオ"/>
                <w:szCs w:val="21"/>
                <w:shd w:val="pct15" w:color="auto" w:fill="FFFFFF"/>
              </w:rPr>
            </w:pPr>
            <w:r w:rsidRPr="00C8171B">
              <w:rPr>
                <w:rFonts w:ascii="メイリオ" w:eastAsia="メイリオ" w:hAnsi="メイリオ" w:hint="eastAsia"/>
                <w:szCs w:val="21"/>
              </w:rPr>
              <w:t>法人格を有しない団体としての実体を備え、団体の規約等を遵守しているか</w:t>
            </w:r>
          </w:p>
        </w:tc>
        <w:tc>
          <w:tcPr>
            <w:tcW w:w="5730" w:type="dxa"/>
          </w:tcPr>
          <w:p w14:paraId="6C886BE4" w14:textId="583DBD7F" w:rsidR="00726869" w:rsidRDefault="00726869" w:rsidP="00CA71D1">
            <w:pPr>
              <w:spacing w:line="360" w:lineRule="exact"/>
              <w:rPr>
                <w:rFonts w:ascii="メイリオ" w:eastAsia="メイリオ" w:hAnsi="メイリオ"/>
                <w:szCs w:val="21"/>
              </w:rPr>
            </w:pPr>
            <w:r w:rsidRPr="00581D93">
              <w:rPr>
                <w:rFonts w:ascii="メイリオ" w:eastAsia="メイリオ" w:hAnsi="メイリオ" w:hint="eastAsia"/>
                <w:szCs w:val="21"/>
              </w:rPr>
              <w:t>連盟規約や内規を定め、</w:t>
            </w:r>
            <w:r>
              <w:rPr>
                <w:rFonts w:ascii="メイリオ" w:eastAsia="メイリオ" w:hAnsi="メイリオ" w:hint="eastAsia"/>
                <w:szCs w:val="21"/>
              </w:rPr>
              <w:t>遵守し</w:t>
            </w:r>
            <w:r w:rsidR="00740D6D">
              <w:rPr>
                <w:rFonts w:ascii="メイリオ" w:eastAsia="メイリオ" w:hAnsi="メイリオ" w:hint="eastAsia"/>
                <w:szCs w:val="21"/>
              </w:rPr>
              <w:t>即した運営を</w:t>
            </w:r>
            <w:r>
              <w:rPr>
                <w:rFonts w:ascii="メイリオ" w:eastAsia="メイリオ" w:hAnsi="メイリオ" w:hint="eastAsia"/>
                <w:szCs w:val="21"/>
              </w:rPr>
              <w:t>している。</w:t>
            </w:r>
          </w:p>
          <w:p w14:paraId="441B6DF6" w14:textId="512E492D" w:rsidR="00726869" w:rsidRPr="000526AE" w:rsidRDefault="00726869" w:rsidP="00740D6D">
            <w:pPr>
              <w:widowControl/>
              <w:jc w:val="left"/>
              <w:rPr>
                <w:rFonts w:ascii="メイリオ" w:eastAsia="メイリオ" w:hAnsi="メイリオ"/>
                <w:szCs w:val="21"/>
                <w:shd w:val="pct15" w:color="auto" w:fill="FFFFFF"/>
              </w:rPr>
            </w:pPr>
          </w:p>
        </w:tc>
      </w:tr>
      <w:tr w:rsidR="00726869" w:rsidRPr="004B5386" w14:paraId="4BE401C8" w14:textId="77777777" w:rsidTr="00481CCB">
        <w:trPr>
          <w:trHeight w:val="1153"/>
        </w:trPr>
        <w:tc>
          <w:tcPr>
            <w:tcW w:w="559" w:type="dxa"/>
          </w:tcPr>
          <w:p w14:paraId="19F2F3A4" w14:textId="77777777" w:rsidR="00481CCB" w:rsidRDefault="00726869"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p>
          <w:p w14:paraId="11BDB77F" w14:textId="3C1C04DA" w:rsidR="00726869" w:rsidRDefault="00726869" w:rsidP="00481CCB">
            <w:pPr>
              <w:spacing w:line="360" w:lineRule="exact"/>
              <w:ind w:firstLineChars="50" w:firstLine="105"/>
              <w:rPr>
                <w:rFonts w:ascii="メイリオ" w:eastAsia="メイリオ" w:hAnsi="メイリオ"/>
                <w:szCs w:val="21"/>
              </w:rPr>
            </w:pPr>
            <w:r>
              <w:rPr>
                <w:rFonts w:ascii="メイリオ" w:eastAsia="メイリオ" w:hAnsi="メイリオ"/>
                <w:szCs w:val="21"/>
              </w:rPr>
              <w:t>4</w:t>
            </w:r>
          </w:p>
          <w:p w14:paraId="46F89C1E" w14:textId="5E76E1B5" w:rsidR="00726869" w:rsidRDefault="00726869" w:rsidP="00222E38">
            <w:pPr>
              <w:spacing w:line="360" w:lineRule="exact"/>
              <w:rPr>
                <w:rFonts w:ascii="メイリオ" w:eastAsia="メイリオ" w:hAnsi="メイリオ"/>
                <w:szCs w:val="21"/>
              </w:rPr>
            </w:pPr>
          </w:p>
        </w:tc>
        <w:tc>
          <w:tcPr>
            <w:tcW w:w="3432" w:type="dxa"/>
            <w:vMerge/>
          </w:tcPr>
          <w:p w14:paraId="4A8A0723" w14:textId="77777777" w:rsidR="00726869" w:rsidRDefault="00726869" w:rsidP="00222E38">
            <w:pPr>
              <w:widowControl/>
              <w:jc w:val="left"/>
              <w:rPr>
                <w:rFonts w:ascii="メイリオ" w:eastAsia="メイリオ" w:hAnsi="メイリオ"/>
                <w:szCs w:val="21"/>
                <w:shd w:val="pct15" w:color="auto" w:fill="FFFFFF"/>
              </w:rPr>
            </w:pPr>
          </w:p>
        </w:tc>
        <w:tc>
          <w:tcPr>
            <w:tcW w:w="5447" w:type="dxa"/>
          </w:tcPr>
          <w:p w14:paraId="385744AB" w14:textId="2C7CF420" w:rsidR="00726869" w:rsidRDefault="00726869" w:rsidP="00222E38">
            <w:pPr>
              <w:spacing w:line="360" w:lineRule="exact"/>
              <w:rPr>
                <w:rFonts w:ascii="メイリオ" w:eastAsia="メイリオ" w:hAnsi="メイリオ"/>
                <w:szCs w:val="21"/>
              </w:rPr>
            </w:pPr>
            <w:r>
              <w:rPr>
                <w:rFonts w:ascii="メイリオ" w:eastAsia="メイリオ" w:hAnsi="メイリオ" w:hint="eastAsia"/>
                <w:szCs w:val="21"/>
              </w:rPr>
              <w:t>その</w:t>
            </w:r>
            <w:r w:rsidR="00740D6D">
              <w:rPr>
                <w:rFonts w:ascii="メイリオ" w:eastAsia="メイリオ" w:hAnsi="メイリオ" w:hint="eastAsia"/>
                <w:szCs w:val="21"/>
              </w:rPr>
              <w:t>他</w:t>
            </w:r>
            <w:r>
              <w:rPr>
                <w:rFonts w:ascii="メイリオ" w:eastAsia="メイリオ" w:hAnsi="メイリオ" w:hint="eastAsia"/>
                <w:szCs w:val="21"/>
              </w:rPr>
              <w:t>組織運営に必要な規程を整備すること</w:t>
            </w:r>
          </w:p>
          <w:p w14:paraId="2C409432" w14:textId="5D4AA370" w:rsidR="00726869" w:rsidRPr="00C8171B" w:rsidRDefault="00726869">
            <w:pPr>
              <w:pStyle w:val="af"/>
              <w:numPr>
                <w:ilvl w:val="0"/>
                <w:numId w:val="1"/>
              </w:numPr>
              <w:spacing w:line="360" w:lineRule="exact"/>
              <w:rPr>
                <w:rFonts w:ascii="メイリオ" w:eastAsia="メイリオ" w:hAnsi="メイリオ"/>
                <w:szCs w:val="21"/>
                <w:shd w:val="pct15" w:color="auto" w:fill="FFFFFF"/>
              </w:rPr>
            </w:pPr>
            <w:r>
              <w:rPr>
                <w:rFonts w:ascii="メイリオ" w:eastAsia="メイリオ" w:hAnsi="メイリオ" w:hint="eastAsia"/>
                <w:szCs w:val="21"/>
              </w:rPr>
              <w:t>代表選手の公平かつ合理的な選考に関する規程その他選手の権利保護に関する規程を整備すること</w:t>
            </w:r>
          </w:p>
        </w:tc>
        <w:tc>
          <w:tcPr>
            <w:tcW w:w="5730" w:type="dxa"/>
          </w:tcPr>
          <w:p w14:paraId="44820AC5" w14:textId="4B1D3F9C" w:rsidR="00726869" w:rsidRPr="002C418F" w:rsidRDefault="00726869" w:rsidP="00222E38">
            <w:pPr>
              <w:spacing w:line="360" w:lineRule="exact"/>
              <w:rPr>
                <w:rFonts w:ascii="メイリオ" w:eastAsia="メイリオ" w:hAnsi="メイリオ"/>
                <w:szCs w:val="21"/>
              </w:rPr>
            </w:pPr>
            <w:r>
              <w:rPr>
                <w:rFonts w:ascii="メイリオ" w:eastAsia="メイリオ" w:hAnsi="メイリオ" w:hint="eastAsia"/>
                <w:szCs w:val="21"/>
              </w:rPr>
              <w:t>国民スポーツ大会の選手選考に関する内規を定め、公平かつ合理的な選考に努めている。</w:t>
            </w:r>
          </w:p>
        </w:tc>
      </w:tr>
      <w:tr w:rsidR="003B0267" w:rsidRPr="004B5386" w14:paraId="6B05A844" w14:textId="77777777" w:rsidTr="00481CCB">
        <w:trPr>
          <w:trHeight w:val="702"/>
        </w:trPr>
        <w:tc>
          <w:tcPr>
            <w:tcW w:w="559" w:type="dxa"/>
          </w:tcPr>
          <w:p w14:paraId="44D0E1FA" w14:textId="0EAF782C"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5</w:t>
            </w:r>
          </w:p>
        </w:tc>
        <w:tc>
          <w:tcPr>
            <w:tcW w:w="3432" w:type="dxa"/>
            <w:vMerge w:val="restart"/>
          </w:tcPr>
          <w:p w14:paraId="2A3E95BE" w14:textId="77777777" w:rsidR="003B0267" w:rsidRDefault="003B0267" w:rsidP="00222E38">
            <w:pPr>
              <w:widowControl/>
              <w:jc w:val="left"/>
              <w:rPr>
                <w:rFonts w:ascii="メイリオ" w:eastAsia="メイリオ" w:hAnsi="メイリオ"/>
                <w:szCs w:val="21"/>
              </w:rPr>
            </w:pPr>
          </w:p>
          <w:p w14:paraId="1C7A01F9" w14:textId="5AE55018" w:rsidR="003B0267" w:rsidRDefault="003B0267" w:rsidP="00222E38">
            <w:pPr>
              <w:widowControl/>
              <w:jc w:val="left"/>
              <w:rPr>
                <w:rFonts w:ascii="メイリオ" w:eastAsia="メイリオ" w:hAnsi="メイリオ"/>
                <w:szCs w:val="21"/>
                <w:shd w:val="pct15" w:color="auto" w:fill="FFFFFF"/>
              </w:rPr>
            </w:pPr>
            <w:r w:rsidRPr="004B5386">
              <w:rPr>
                <w:rFonts w:ascii="メイリオ" w:eastAsia="メイリオ" w:hAnsi="メイリオ" w:hint="eastAsia"/>
                <w:szCs w:val="21"/>
              </w:rPr>
              <w:t>コンプライアンス</w:t>
            </w:r>
            <w:r>
              <w:rPr>
                <w:rFonts w:ascii="メイリオ" w:eastAsia="メイリオ" w:hAnsi="メイリオ" w:hint="eastAsia"/>
                <w:szCs w:val="21"/>
              </w:rPr>
              <w:t>強化のための</w:t>
            </w:r>
            <w:r w:rsidRPr="004B5386">
              <w:rPr>
                <w:rFonts w:ascii="メイリオ" w:eastAsia="メイリオ" w:hAnsi="メイリオ" w:hint="eastAsia"/>
                <w:szCs w:val="21"/>
              </w:rPr>
              <w:t>教育を実施</w:t>
            </w:r>
            <w:r>
              <w:rPr>
                <w:rFonts w:ascii="メイリオ" w:eastAsia="メイリオ" w:hAnsi="メイリオ" w:hint="eastAsia"/>
                <w:szCs w:val="21"/>
              </w:rPr>
              <w:t>すべきである</w:t>
            </w:r>
          </w:p>
        </w:tc>
        <w:tc>
          <w:tcPr>
            <w:tcW w:w="5447" w:type="dxa"/>
          </w:tcPr>
          <w:p w14:paraId="0FAA723F" w14:textId="071B9C9E"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役職員向けのコンプライアンス教育を実施すること</w:t>
            </w:r>
          </w:p>
        </w:tc>
        <w:tc>
          <w:tcPr>
            <w:tcW w:w="5730" w:type="dxa"/>
          </w:tcPr>
          <w:p w14:paraId="18ED84A0" w14:textId="1F445CB3"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毎年、コンプライアンス研修を実施し、受講を義務付けている。</w:t>
            </w:r>
          </w:p>
        </w:tc>
      </w:tr>
      <w:tr w:rsidR="003B0267" w:rsidRPr="004B5386" w14:paraId="33CAFB32" w14:textId="77777777" w:rsidTr="00481CCB">
        <w:trPr>
          <w:trHeight w:val="684"/>
        </w:trPr>
        <w:tc>
          <w:tcPr>
            <w:tcW w:w="559" w:type="dxa"/>
          </w:tcPr>
          <w:p w14:paraId="1758936A" w14:textId="77777777" w:rsidR="00481CCB"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p>
          <w:p w14:paraId="5315371B" w14:textId="280D0A80" w:rsidR="003B0267" w:rsidRDefault="003B0267" w:rsidP="00481CCB">
            <w:pPr>
              <w:spacing w:line="360" w:lineRule="exact"/>
              <w:ind w:firstLineChars="50" w:firstLine="105"/>
              <w:rPr>
                <w:rFonts w:ascii="メイリオ" w:eastAsia="メイリオ" w:hAnsi="メイリオ"/>
                <w:szCs w:val="21"/>
              </w:rPr>
            </w:pPr>
            <w:r>
              <w:rPr>
                <w:rFonts w:ascii="メイリオ" w:eastAsia="メイリオ" w:hAnsi="メイリオ"/>
                <w:szCs w:val="21"/>
              </w:rPr>
              <w:t>6</w:t>
            </w:r>
          </w:p>
        </w:tc>
        <w:tc>
          <w:tcPr>
            <w:tcW w:w="3432" w:type="dxa"/>
            <w:vMerge/>
          </w:tcPr>
          <w:p w14:paraId="6FEFF121" w14:textId="77777777" w:rsidR="003B0267" w:rsidRDefault="003B0267" w:rsidP="00222E38">
            <w:pPr>
              <w:widowControl/>
              <w:jc w:val="left"/>
              <w:rPr>
                <w:rFonts w:ascii="メイリオ" w:eastAsia="メイリオ" w:hAnsi="メイリオ"/>
                <w:szCs w:val="21"/>
                <w:shd w:val="pct15" w:color="auto" w:fill="FFFFFF"/>
              </w:rPr>
            </w:pPr>
          </w:p>
        </w:tc>
        <w:tc>
          <w:tcPr>
            <w:tcW w:w="5447" w:type="dxa"/>
          </w:tcPr>
          <w:p w14:paraId="63027586" w14:textId="71409DF1"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選手及び指導者向けのコンプライアンス教育を実施すること</w:t>
            </w:r>
          </w:p>
        </w:tc>
        <w:tc>
          <w:tcPr>
            <w:tcW w:w="5730" w:type="dxa"/>
          </w:tcPr>
          <w:p w14:paraId="70637D4E" w14:textId="3C19934B" w:rsidR="003B0267" w:rsidRP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指導者を対象としたコンプライアンス教育は、指導者資格講習等で毎年受講するよう定めている。</w:t>
            </w:r>
            <w:r w:rsidR="00C938FC">
              <w:rPr>
                <w:rFonts w:ascii="メイリオ" w:eastAsia="メイリオ" w:hAnsi="メイリオ" w:hint="eastAsia"/>
                <w:szCs w:val="21"/>
              </w:rPr>
              <w:t>また、選手を含め登録メンバーに倫理委員会会報を年３回発行している。</w:t>
            </w:r>
          </w:p>
        </w:tc>
      </w:tr>
      <w:tr w:rsidR="003B0267" w:rsidRPr="004B5386" w14:paraId="1F183FED" w14:textId="77777777" w:rsidTr="00481CCB">
        <w:trPr>
          <w:trHeight w:val="814"/>
        </w:trPr>
        <w:tc>
          <w:tcPr>
            <w:tcW w:w="559" w:type="dxa"/>
          </w:tcPr>
          <w:p w14:paraId="5AD061E6" w14:textId="2780AAF4"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7</w:t>
            </w:r>
          </w:p>
        </w:tc>
        <w:tc>
          <w:tcPr>
            <w:tcW w:w="3432" w:type="dxa"/>
            <w:vMerge w:val="restart"/>
          </w:tcPr>
          <w:p w14:paraId="3E1B382A" w14:textId="77777777" w:rsidR="00C938FC" w:rsidRDefault="00C938FC" w:rsidP="00222E38">
            <w:pPr>
              <w:widowControl/>
              <w:jc w:val="left"/>
              <w:rPr>
                <w:rFonts w:ascii="メイリオ" w:eastAsia="メイリオ" w:hAnsi="メイリオ"/>
                <w:szCs w:val="21"/>
              </w:rPr>
            </w:pPr>
          </w:p>
          <w:p w14:paraId="0748AD91" w14:textId="561D538D" w:rsidR="003B0267" w:rsidRDefault="0004109B" w:rsidP="00222E38">
            <w:pPr>
              <w:widowControl/>
              <w:jc w:val="left"/>
              <w:rPr>
                <w:rFonts w:ascii="メイリオ" w:eastAsia="メイリオ" w:hAnsi="メイリオ"/>
                <w:szCs w:val="21"/>
                <w:shd w:val="pct15" w:color="auto" w:fill="FFFFFF"/>
              </w:rPr>
            </w:pPr>
            <w:r w:rsidRPr="00E14980">
              <w:rPr>
                <w:rFonts w:ascii="メイリオ" w:eastAsia="メイリオ" w:hAnsi="メイリオ" w:hint="eastAsia"/>
                <w:szCs w:val="21"/>
              </w:rPr>
              <w:t>法務、会計等の体制を構築すべきである</w:t>
            </w:r>
          </w:p>
        </w:tc>
        <w:tc>
          <w:tcPr>
            <w:tcW w:w="5447" w:type="dxa"/>
          </w:tcPr>
          <w:p w14:paraId="0A375491" w14:textId="046082F8" w:rsidR="003B0267" w:rsidRDefault="0004109B" w:rsidP="00222E38">
            <w:pPr>
              <w:spacing w:line="360" w:lineRule="exact"/>
              <w:rPr>
                <w:rFonts w:ascii="メイリオ" w:eastAsia="メイリオ" w:hAnsi="メイリオ"/>
                <w:szCs w:val="21"/>
              </w:rPr>
            </w:pPr>
            <w:r>
              <w:rPr>
                <w:rFonts w:ascii="メイリオ" w:eastAsia="メイリオ" w:hAnsi="メイリオ" w:hint="eastAsia"/>
                <w:szCs w:val="21"/>
              </w:rPr>
              <w:t>財務・経理の処理を適切に行い、公正な会計原則を遵守すること</w:t>
            </w:r>
          </w:p>
        </w:tc>
        <w:tc>
          <w:tcPr>
            <w:tcW w:w="5730" w:type="dxa"/>
          </w:tcPr>
          <w:p w14:paraId="07B3FDB2" w14:textId="3F838BA3" w:rsidR="003B0267" w:rsidRDefault="00E14980" w:rsidP="00222E38">
            <w:pPr>
              <w:spacing w:line="360" w:lineRule="exact"/>
              <w:rPr>
                <w:rFonts w:ascii="メイリオ" w:eastAsia="メイリオ" w:hAnsi="メイリオ"/>
                <w:szCs w:val="21"/>
              </w:rPr>
            </w:pPr>
            <w:r>
              <w:rPr>
                <w:rFonts w:ascii="メイリオ" w:eastAsia="メイリオ" w:hAnsi="メイリオ" w:hint="eastAsia"/>
                <w:szCs w:val="21"/>
              </w:rPr>
              <w:t>毎年４月に当連盟監事による監査を受検している。</w:t>
            </w:r>
          </w:p>
        </w:tc>
      </w:tr>
      <w:tr w:rsidR="003B0267" w:rsidRPr="004B5386" w14:paraId="100EBCE2" w14:textId="77777777" w:rsidTr="00481CCB">
        <w:trPr>
          <w:trHeight w:val="814"/>
        </w:trPr>
        <w:tc>
          <w:tcPr>
            <w:tcW w:w="559" w:type="dxa"/>
          </w:tcPr>
          <w:p w14:paraId="00592BA9" w14:textId="26709DB9" w:rsidR="003B0267" w:rsidRDefault="003B0267"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8</w:t>
            </w:r>
          </w:p>
        </w:tc>
        <w:tc>
          <w:tcPr>
            <w:tcW w:w="3432" w:type="dxa"/>
            <w:vMerge/>
          </w:tcPr>
          <w:p w14:paraId="77ECAD96" w14:textId="77777777" w:rsidR="003B0267" w:rsidRDefault="003B0267" w:rsidP="00222E38">
            <w:pPr>
              <w:widowControl/>
              <w:jc w:val="left"/>
              <w:rPr>
                <w:rFonts w:ascii="メイリオ" w:eastAsia="メイリオ" w:hAnsi="メイリオ"/>
                <w:szCs w:val="21"/>
                <w:shd w:val="pct15" w:color="auto" w:fill="FFFFFF"/>
              </w:rPr>
            </w:pPr>
          </w:p>
        </w:tc>
        <w:tc>
          <w:tcPr>
            <w:tcW w:w="5447" w:type="dxa"/>
          </w:tcPr>
          <w:p w14:paraId="4DCC405D" w14:textId="060DE56A" w:rsidR="003B0267" w:rsidRDefault="00E14980" w:rsidP="00222E38">
            <w:pPr>
              <w:spacing w:line="360" w:lineRule="exact"/>
              <w:rPr>
                <w:rFonts w:ascii="メイリオ" w:eastAsia="メイリオ" w:hAnsi="メイリオ"/>
                <w:szCs w:val="21"/>
              </w:rPr>
            </w:pPr>
            <w:r>
              <w:rPr>
                <w:rFonts w:ascii="メイリオ" w:eastAsia="メイリオ" w:hAnsi="メイリオ" w:hint="eastAsia"/>
                <w:szCs w:val="21"/>
              </w:rPr>
              <w:t>国庫補助金等の利用に関し、適正な使用のために求められる法令、ガイドライン等を遵守すること</w:t>
            </w:r>
          </w:p>
        </w:tc>
        <w:tc>
          <w:tcPr>
            <w:tcW w:w="5730" w:type="dxa"/>
          </w:tcPr>
          <w:p w14:paraId="2FCE152A" w14:textId="7C4FD985" w:rsidR="003B0267" w:rsidRDefault="00C938FC" w:rsidP="00222E38">
            <w:pPr>
              <w:spacing w:line="360" w:lineRule="exact"/>
              <w:rPr>
                <w:rFonts w:ascii="メイリオ" w:eastAsia="メイリオ" w:hAnsi="メイリオ"/>
                <w:szCs w:val="21"/>
              </w:rPr>
            </w:pPr>
            <w:r>
              <w:rPr>
                <w:rFonts w:ascii="メイリオ" w:eastAsia="メイリオ" w:hAnsi="メイリオ" w:hint="eastAsia"/>
                <w:szCs w:val="21"/>
              </w:rPr>
              <w:t>県スポーツ協会等からの補助金等については、各交付要項に則った、ガイドラインを遵守して執行している。</w:t>
            </w:r>
          </w:p>
        </w:tc>
      </w:tr>
      <w:tr w:rsidR="00655D02" w:rsidRPr="004B5386" w14:paraId="463396BA" w14:textId="77777777" w:rsidTr="00481CCB">
        <w:trPr>
          <w:trHeight w:val="490"/>
        </w:trPr>
        <w:tc>
          <w:tcPr>
            <w:tcW w:w="559" w:type="dxa"/>
          </w:tcPr>
          <w:p w14:paraId="5E93061A" w14:textId="3E5F8C7B" w:rsidR="00655D02" w:rsidRDefault="00481CCB" w:rsidP="00222E38">
            <w:pPr>
              <w:spacing w:line="36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9</w:t>
            </w:r>
          </w:p>
        </w:tc>
        <w:tc>
          <w:tcPr>
            <w:tcW w:w="3432" w:type="dxa"/>
            <w:vMerge w:val="restart"/>
          </w:tcPr>
          <w:p w14:paraId="1FC7AE71" w14:textId="77777777" w:rsidR="00481CCB" w:rsidRDefault="00481CCB" w:rsidP="00D669B7">
            <w:pPr>
              <w:widowControl/>
              <w:jc w:val="left"/>
              <w:rPr>
                <w:rFonts w:ascii="メイリオ" w:eastAsia="メイリオ" w:hAnsi="メイリオ"/>
                <w:sz w:val="20"/>
                <w:szCs w:val="20"/>
              </w:rPr>
            </w:pPr>
          </w:p>
          <w:p w14:paraId="495E0B1B" w14:textId="1FD65691" w:rsidR="00655D02" w:rsidRPr="00655D02" w:rsidRDefault="00655D02" w:rsidP="00D669B7">
            <w:pPr>
              <w:widowControl/>
              <w:jc w:val="left"/>
              <w:rPr>
                <w:rFonts w:ascii="メイリオ" w:eastAsia="メイリオ" w:hAnsi="メイリオ"/>
                <w:sz w:val="20"/>
                <w:szCs w:val="20"/>
              </w:rPr>
            </w:pPr>
            <w:r w:rsidRPr="00C938FC">
              <w:rPr>
                <w:rFonts w:ascii="メイリオ" w:eastAsia="メイリオ" w:hAnsi="メイリオ" w:hint="eastAsia"/>
                <w:sz w:val="20"/>
                <w:szCs w:val="20"/>
              </w:rPr>
              <w:t>適切な情報開示</w:t>
            </w:r>
            <w:r w:rsidR="00740D6D">
              <w:rPr>
                <w:rFonts w:ascii="メイリオ" w:eastAsia="メイリオ" w:hAnsi="メイリオ" w:hint="eastAsia"/>
                <w:sz w:val="20"/>
                <w:szCs w:val="20"/>
              </w:rPr>
              <w:t>を</w:t>
            </w:r>
            <w:r w:rsidRPr="00C938FC">
              <w:rPr>
                <w:rFonts w:ascii="メイリオ" w:eastAsia="メイリオ" w:hAnsi="メイリオ" w:hint="eastAsia"/>
                <w:sz w:val="20"/>
                <w:szCs w:val="20"/>
              </w:rPr>
              <w:t>行うべきである</w:t>
            </w:r>
          </w:p>
        </w:tc>
        <w:tc>
          <w:tcPr>
            <w:tcW w:w="5447" w:type="dxa"/>
          </w:tcPr>
          <w:p w14:paraId="37DCE7B8" w14:textId="67E701BE" w:rsidR="00655D02" w:rsidRDefault="00655D02" w:rsidP="00222E38">
            <w:pPr>
              <w:spacing w:line="360" w:lineRule="exact"/>
              <w:rPr>
                <w:rFonts w:ascii="メイリオ" w:eastAsia="メイリオ" w:hAnsi="メイリオ"/>
                <w:szCs w:val="21"/>
              </w:rPr>
            </w:pPr>
            <w:r>
              <w:rPr>
                <w:rFonts w:ascii="メイリオ" w:eastAsia="メイリオ" w:hAnsi="メイリオ" w:hint="eastAsia"/>
                <w:szCs w:val="21"/>
              </w:rPr>
              <w:t>財務情報等について、法令に基づく開示を行うこと</w:t>
            </w:r>
          </w:p>
        </w:tc>
        <w:tc>
          <w:tcPr>
            <w:tcW w:w="5730" w:type="dxa"/>
          </w:tcPr>
          <w:p w14:paraId="30B260AD" w14:textId="3DEE7B4F" w:rsidR="00655D02" w:rsidRDefault="00243AE7" w:rsidP="00222E38">
            <w:pPr>
              <w:spacing w:line="360" w:lineRule="exact"/>
              <w:rPr>
                <w:rFonts w:ascii="メイリオ" w:eastAsia="メイリオ" w:hAnsi="メイリオ"/>
                <w:szCs w:val="21"/>
              </w:rPr>
            </w:pPr>
            <w:r>
              <w:rPr>
                <w:rFonts w:ascii="メイリオ" w:eastAsia="メイリオ" w:hAnsi="メイリオ" w:hint="eastAsia"/>
                <w:szCs w:val="21"/>
              </w:rPr>
              <w:t>事業報告書、決算書、および事業計画書、予算書等について、理事会および評議員会等で承認している。</w:t>
            </w:r>
          </w:p>
        </w:tc>
      </w:tr>
      <w:tr w:rsidR="00655D02" w:rsidRPr="004B5386" w14:paraId="5BA1C3E4" w14:textId="77777777" w:rsidTr="00481CCB">
        <w:trPr>
          <w:trHeight w:val="696"/>
        </w:trPr>
        <w:tc>
          <w:tcPr>
            <w:tcW w:w="559" w:type="dxa"/>
          </w:tcPr>
          <w:p w14:paraId="78491DE6" w14:textId="77777777" w:rsidR="00481CCB" w:rsidRDefault="00481CCB" w:rsidP="00222E38">
            <w:pPr>
              <w:spacing w:line="360" w:lineRule="exact"/>
              <w:rPr>
                <w:rFonts w:ascii="メイリオ" w:eastAsia="メイリオ" w:hAnsi="メイリオ"/>
                <w:szCs w:val="21"/>
              </w:rPr>
            </w:pPr>
          </w:p>
          <w:p w14:paraId="251D9971" w14:textId="17A6E26D" w:rsidR="00655D02" w:rsidRPr="00655D02" w:rsidRDefault="00481CCB" w:rsidP="00222E38">
            <w:pPr>
              <w:spacing w:line="360" w:lineRule="exact"/>
              <w:rPr>
                <w:rFonts w:ascii="メイリオ" w:eastAsia="メイリオ" w:hAnsi="メイリオ"/>
                <w:szCs w:val="21"/>
              </w:rPr>
            </w:pPr>
            <w:r>
              <w:rPr>
                <w:rFonts w:ascii="メイリオ" w:eastAsia="メイリオ" w:hAnsi="メイリオ" w:hint="eastAsia"/>
                <w:szCs w:val="21"/>
              </w:rPr>
              <w:t>1</w:t>
            </w:r>
            <w:r>
              <w:rPr>
                <w:rFonts w:ascii="メイリオ" w:eastAsia="メイリオ" w:hAnsi="メイリオ"/>
                <w:szCs w:val="21"/>
              </w:rPr>
              <w:t>0</w:t>
            </w:r>
          </w:p>
        </w:tc>
        <w:tc>
          <w:tcPr>
            <w:tcW w:w="3432" w:type="dxa"/>
            <w:vMerge/>
          </w:tcPr>
          <w:p w14:paraId="7B944755" w14:textId="77777777" w:rsidR="00655D02" w:rsidRDefault="00655D02" w:rsidP="00222E38">
            <w:pPr>
              <w:widowControl/>
              <w:jc w:val="left"/>
              <w:rPr>
                <w:rFonts w:ascii="メイリオ" w:eastAsia="メイリオ" w:hAnsi="メイリオ"/>
                <w:szCs w:val="21"/>
                <w:shd w:val="pct15" w:color="auto" w:fill="FFFFFF"/>
              </w:rPr>
            </w:pPr>
          </w:p>
        </w:tc>
        <w:tc>
          <w:tcPr>
            <w:tcW w:w="5447" w:type="dxa"/>
          </w:tcPr>
          <w:p w14:paraId="1A468A07" w14:textId="77777777" w:rsidR="00655D02" w:rsidRDefault="002900DC" w:rsidP="00222E38">
            <w:pPr>
              <w:spacing w:line="360" w:lineRule="exact"/>
              <w:rPr>
                <w:rFonts w:ascii="メイリオ" w:eastAsia="メイリオ" w:hAnsi="メイリオ"/>
                <w:szCs w:val="21"/>
              </w:rPr>
            </w:pPr>
            <w:r>
              <w:rPr>
                <w:rFonts w:ascii="メイリオ" w:eastAsia="メイリオ" w:hAnsi="メイリオ" w:hint="eastAsia"/>
                <w:szCs w:val="21"/>
              </w:rPr>
              <w:t>法令に基づく開示以外の情報開示も主体的に行うこと</w:t>
            </w:r>
          </w:p>
          <w:p w14:paraId="02818C6E" w14:textId="4093F020" w:rsidR="00673F0B" w:rsidRPr="00673F0B" w:rsidRDefault="00673F0B">
            <w:pPr>
              <w:pStyle w:val="af"/>
              <w:numPr>
                <w:ilvl w:val="0"/>
                <w:numId w:val="2"/>
              </w:numPr>
              <w:spacing w:line="360" w:lineRule="exact"/>
              <w:rPr>
                <w:rFonts w:ascii="メイリオ" w:eastAsia="メイリオ" w:hAnsi="メイリオ"/>
                <w:szCs w:val="21"/>
              </w:rPr>
            </w:pPr>
            <w:r>
              <w:rPr>
                <w:rFonts w:ascii="メイリオ" w:eastAsia="メイリオ" w:hAnsi="メイリオ" w:hint="eastAsia"/>
                <w:szCs w:val="21"/>
              </w:rPr>
              <w:t>ガバナンスコードの遵守状況に関する情報等を開示すること</w:t>
            </w:r>
          </w:p>
        </w:tc>
        <w:tc>
          <w:tcPr>
            <w:tcW w:w="5730" w:type="dxa"/>
          </w:tcPr>
          <w:p w14:paraId="3EF517E0" w14:textId="7DDBDE48" w:rsidR="00655D02" w:rsidRDefault="00481CCB" w:rsidP="00222E38">
            <w:pPr>
              <w:spacing w:line="360" w:lineRule="exact"/>
              <w:rPr>
                <w:rFonts w:ascii="メイリオ" w:eastAsia="メイリオ" w:hAnsi="メイリオ"/>
                <w:szCs w:val="21"/>
              </w:rPr>
            </w:pPr>
            <w:r>
              <w:rPr>
                <w:rFonts w:ascii="メイリオ" w:eastAsia="メイリオ" w:hAnsi="メイリオ" w:hint="eastAsia"/>
                <w:szCs w:val="21"/>
              </w:rPr>
              <w:t>ガバナンスコードの遵守状況については、令和５年３月末までには、当連盟ホームページで公開する</w:t>
            </w:r>
          </w:p>
        </w:tc>
      </w:tr>
    </w:tbl>
    <w:p w14:paraId="1599E6E7" w14:textId="622A56F7" w:rsidR="00632FF7" w:rsidRPr="004B5386" w:rsidRDefault="00632FF7" w:rsidP="00E8504F">
      <w:pPr>
        <w:widowControl/>
        <w:jc w:val="left"/>
        <w:rPr>
          <w:rFonts w:ascii="メイリオ" w:eastAsia="メイリオ" w:hAnsi="メイリオ"/>
          <w:szCs w:val="21"/>
        </w:rPr>
      </w:pPr>
    </w:p>
    <w:sectPr w:rsidR="00632FF7" w:rsidRPr="004B5386" w:rsidSect="0004109B">
      <w:footerReference w:type="default" r:id="rId8"/>
      <w:pgSz w:w="16838" w:h="11906" w:orient="landscape" w:code="9"/>
      <w:pgMar w:top="510" w:right="1077" w:bottom="510" w:left="1077"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BF5D" w14:textId="77777777" w:rsidR="001B3B95" w:rsidRDefault="001B3B95">
      <w:r>
        <w:separator/>
      </w:r>
    </w:p>
  </w:endnote>
  <w:endnote w:type="continuationSeparator" w:id="0">
    <w:p w14:paraId="48D3623A" w14:textId="77777777" w:rsidR="001B3B95" w:rsidRDefault="001B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sidR="002767F5" w:rsidRPr="002767F5">
          <w:rPr>
            <w:noProof/>
            <w:lang w:val="ja-JP"/>
          </w:rPr>
          <w:t>-</w:t>
        </w:r>
        <w:r w:rsidR="002767F5">
          <w:rPr>
            <w:noProof/>
          </w:rPr>
          <w:t xml:space="preserve"> 4 -</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A9C8" w14:textId="77777777" w:rsidR="001B3B95" w:rsidRDefault="001B3B95">
      <w:r>
        <w:separator/>
      </w:r>
    </w:p>
  </w:footnote>
  <w:footnote w:type="continuationSeparator" w:id="0">
    <w:p w14:paraId="144749C7" w14:textId="77777777" w:rsidR="001B3B95" w:rsidRDefault="001B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642F"/>
    <w:multiLevelType w:val="hybridMultilevel"/>
    <w:tmpl w:val="BD8887C2"/>
    <w:lvl w:ilvl="0" w:tplc="CB9005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BE3A66"/>
    <w:multiLevelType w:val="hybridMultilevel"/>
    <w:tmpl w:val="BC128DBC"/>
    <w:lvl w:ilvl="0" w:tplc="D8C2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7893510">
    <w:abstractNumId w:val="0"/>
  </w:num>
  <w:num w:numId="2" w16cid:durableId="116682639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09B"/>
    <w:rsid w:val="00041A5F"/>
    <w:rsid w:val="00043A0C"/>
    <w:rsid w:val="0004618E"/>
    <w:rsid w:val="00046DD9"/>
    <w:rsid w:val="000471B8"/>
    <w:rsid w:val="00047C5D"/>
    <w:rsid w:val="00050C9A"/>
    <w:rsid w:val="00051C94"/>
    <w:rsid w:val="000526AE"/>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5E7"/>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0ECF"/>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3B95"/>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2E38"/>
    <w:rsid w:val="0022571D"/>
    <w:rsid w:val="00225BFA"/>
    <w:rsid w:val="00226519"/>
    <w:rsid w:val="00227372"/>
    <w:rsid w:val="00227A23"/>
    <w:rsid w:val="00227E41"/>
    <w:rsid w:val="00231EBE"/>
    <w:rsid w:val="00232470"/>
    <w:rsid w:val="00234313"/>
    <w:rsid w:val="00234A8A"/>
    <w:rsid w:val="002372B3"/>
    <w:rsid w:val="00240DE3"/>
    <w:rsid w:val="00243AE7"/>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7F5"/>
    <w:rsid w:val="002768AC"/>
    <w:rsid w:val="00277645"/>
    <w:rsid w:val="0028148B"/>
    <w:rsid w:val="00282202"/>
    <w:rsid w:val="00283D8A"/>
    <w:rsid w:val="002845C2"/>
    <w:rsid w:val="0028481C"/>
    <w:rsid w:val="00285606"/>
    <w:rsid w:val="00286C20"/>
    <w:rsid w:val="00286CC9"/>
    <w:rsid w:val="0028750A"/>
    <w:rsid w:val="00287F84"/>
    <w:rsid w:val="00287FA1"/>
    <w:rsid w:val="002900DC"/>
    <w:rsid w:val="00290628"/>
    <w:rsid w:val="002914C5"/>
    <w:rsid w:val="00293CC4"/>
    <w:rsid w:val="00294238"/>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8F"/>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46D"/>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0267"/>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CCB"/>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386"/>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1D93"/>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D02"/>
    <w:rsid w:val="00655F37"/>
    <w:rsid w:val="00656D34"/>
    <w:rsid w:val="00661638"/>
    <w:rsid w:val="00662ECA"/>
    <w:rsid w:val="006646BA"/>
    <w:rsid w:val="0066592E"/>
    <w:rsid w:val="00665C54"/>
    <w:rsid w:val="00665E8C"/>
    <w:rsid w:val="00666440"/>
    <w:rsid w:val="00666953"/>
    <w:rsid w:val="00666E49"/>
    <w:rsid w:val="00666E4B"/>
    <w:rsid w:val="00667DBC"/>
    <w:rsid w:val="0067159F"/>
    <w:rsid w:val="006719EC"/>
    <w:rsid w:val="00673F0B"/>
    <w:rsid w:val="00674329"/>
    <w:rsid w:val="00676F75"/>
    <w:rsid w:val="00677E92"/>
    <w:rsid w:val="00677EC7"/>
    <w:rsid w:val="00680BFE"/>
    <w:rsid w:val="00681F36"/>
    <w:rsid w:val="00682ECD"/>
    <w:rsid w:val="00683B13"/>
    <w:rsid w:val="00686398"/>
    <w:rsid w:val="00691172"/>
    <w:rsid w:val="0069148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5859"/>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26869"/>
    <w:rsid w:val="00732CCA"/>
    <w:rsid w:val="00732E58"/>
    <w:rsid w:val="00733BF2"/>
    <w:rsid w:val="00733EC4"/>
    <w:rsid w:val="00734608"/>
    <w:rsid w:val="007346E1"/>
    <w:rsid w:val="00735065"/>
    <w:rsid w:val="00737670"/>
    <w:rsid w:val="00740B53"/>
    <w:rsid w:val="00740D6D"/>
    <w:rsid w:val="0074197B"/>
    <w:rsid w:val="00741C56"/>
    <w:rsid w:val="00741E41"/>
    <w:rsid w:val="00743F26"/>
    <w:rsid w:val="0074477A"/>
    <w:rsid w:val="00745E09"/>
    <w:rsid w:val="00746932"/>
    <w:rsid w:val="00746CA7"/>
    <w:rsid w:val="00747C65"/>
    <w:rsid w:val="00750317"/>
    <w:rsid w:val="007505D8"/>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1ECB"/>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69D2"/>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171B"/>
    <w:rsid w:val="00C82364"/>
    <w:rsid w:val="00C824BF"/>
    <w:rsid w:val="00C829DF"/>
    <w:rsid w:val="00C85148"/>
    <w:rsid w:val="00C85A99"/>
    <w:rsid w:val="00C86664"/>
    <w:rsid w:val="00C91261"/>
    <w:rsid w:val="00C915EB"/>
    <w:rsid w:val="00C918FE"/>
    <w:rsid w:val="00C929FA"/>
    <w:rsid w:val="00C92EE0"/>
    <w:rsid w:val="00C938FC"/>
    <w:rsid w:val="00C9498E"/>
    <w:rsid w:val="00C95C24"/>
    <w:rsid w:val="00C95C33"/>
    <w:rsid w:val="00C97928"/>
    <w:rsid w:val="00C97B08"/>
    <w:rsid w:val="00C97E9F"/>
    <w:rsid w:val="00CA0129"/>
    <w:rsid w:val="00CA01AA"/>
    <w:rsid w:val="00CA080A"/>
    <w:rsid w:val="00CA0C63"/>
    <w:rsid w:val="00CA3AA6"/>
    <w:rsid w:val="00CA5EA5"/>
    <w:rsid w:val="00CA71D1"/>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011"/>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69B7"/>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80"/>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04F"/>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DD6A-0E3E-4721-B7F4-EA68B0EF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Fu8221</cp:lastModifiedBy>
  <cp:revision>13</cp:revision>
  <cp:lastPrinted>2023-03-08T14:11:00Z</cp:lastPrinted>
  <dcterms:created xsi:type="dcterms:W3CDTF">2023-03-08T09:37:00Z</dcterms:created>
  <dcterms:modified xsi:type="dcterms:W3CDTF">2023-03-09T08:58:00Z</dcterms:modified>
</cp:coreProperties>
</file>